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09" w:rsidRPr="00906E09" w:rsidRDefault="00906E09" w:rsidP="00906E09">
      <w:pPr>
        <w:widowControl/>
        <w:spacing w:line="360" w:lineRule="atLeast"/>
        <w:jc w:val="center"/>
        <w:outlineLvl w:val="0"/>
        <w:rPr>
          <w:rFonts w:ascii="宋体" w:eastAsia="宋体" w:hAnsi="宋体" w:cs="宋体" w:hint="eastAsia"/>
          <w:b/>
          <w:kern w:val="36"/>
          <w:sz w:val="30"/>
          <w:szCs w:val="30"/>
        </w:rPr>
      </w:pPr>
      <w:r w:rsidRPr="00906E09">
        <w:rPr>
          <w:rFonts w:ascii="宋体" w:eastAsia="宋体" w:hAnsi="宋体" w:cs="宋体" w:hint="eastAsia"/>
          <w:b/>
          <w:kern w:val="36"/>
          <w:sz w:val="30"/>
          <w:szCs w:val="30"/>
        </w:rPr>
        <w:t>国家自然科学基金委员会-</w:t>
      </w:r>
      <w:bookmarkStart w:id="0" w:name="_GoBack"/>
      <w:r w:rsidRPr="00906E09">
        <w:rPr>
          <w:rFonts w:ascii="宋体" w:eastAsia="宋体" w:hAnsi="宋体" w:cs="宋体" w:hint="eastAsia"/>
          <w:b/>
          <w:kern w:val="36"/>
          <w:sz w:val="30"/>
          <w:szCs w:val="30"/>
        </w:rPr>
        <w:t>中国石油化工股份有限公司石油化工联合基金2016年度项目指南</w:t>
      </w:r>
      <w:bookmarkEnd w:id="0"/>
    </w:p>
    <w:tbl>
      <w:tblPr>
        <w:tblW w:w="5000" w:type="pct"/>
        <w:tblCellSpacing w:w="0" w:type="dxa"/>
        <w:tblCellMar>
          <w:left w:w="0" w:type="dxa"/>
          <w:right w:w="0" w:type="dxa"/>
        </w:tblCellMar>
        <w:tblLook w:val="04A0" w:firstRow="1" w:lastRow="0" w:firstColumn="1" w:lastColumn="0" w:noHBand="0" w:noVBand="1"/>
      </w:tblPr>
      <w:tblGrid>
        <w:gridCol w:w="8306"/>
      </w:tblGrid>
      <w:tr w:rsidR="00906E09" w:rsidRPr="00906E09" w:rsidTr="00906E09">
        <w:trPr>
          <w:trHeight w:val="60"/>
          <w:tblCellSpacing w:w="0" w:type="dxa"/>
        </w:trPr>
        <w:tc>
          <w:tcPr>
            <w:tcW w:w="0" w:type="auto"/>
            <w:vAlign w:val="center"/>
            <w:hideMark/>
          </w:tcPr>
          <w:p w:rsidR="00906E09" w:rsidRPr="00906E09" w:rsidRDefault="00906E09" w:rsidP="00906E09">
            <w:pPr>
              <w:widowControl/>
              <w:spacing w:line="360" w:lineRule="atLeast"/>
              <w:rPr>
                <w:rFonts w:ascii="宋体" w:eastAsia="宋体" w:hAnsi="宋体" w:cs="宋体"/>
                <w:kern w:val="0"/>
                <w:sz w:val="6"/>
                <w:szCs w:val="18"/>
              </w:rPr>
            </w:pPr>
          </w:p>
        </w:tc>
      </w:tr>
      <w:tr w:rsidR="00906E09" w:rsidRPr="00906E09" w:rsidTr="00906E09">
        <w:trPr>
          <w:tblCellSpacing w:w="0" w:type="dxa"/>
        </w:trPr>
        <w:tc>
          <w:tcPr>
            <w:tcW w:w="0" w:type="auto"/>
            <w:vAlign w:val="center"/>
            <w:hideMark/>
          </w:tcPr>
          <w:p w:rsidR="00906E09" w:rsidRPr="00906E09" w:rsidRDefault="00906E09" w:rsidP="00906E09">
            <w:pPr>
              <w:widowControl/>
              <w:spacing w:line="360" w:lineRule="atLeast"/>
              <w:jc w:val="center"/>
              <w:rPr>
                <w:rFonts w:ascii="宋体" w:eastAsia="宋体" w:hAnsi="宋体" w:cs="宋体"/>
                <w:kern w:val="0"/>
                <w:sz w:val="18"/>
                <w:szCs w:val="18"/>
              </w:rPr>
            </w:pPr>
          </w:p>
        </w:tc>
      </w:tr>
    </w:tbl>
    <w:p w:rsidR="00906E09" w:rsidRPr="00906E09" w:rsidRDefault="00906E09" w:rsidP="00906E09">
      <w:pPr>
        <w:widowControl/>
        <w:spacing w:line="360" w:lineRule="atLeast"/>
        <w:rPr>
          <w:rFonts w:ascii="宋体" w:eastAsia="宋体" w:hAnsi="宋体" w:cs="宋体" w:hint="eastAsia"/>
          <w:kern w:val="0"/>
          <w:sz w:val="24"/>
          <w:szCs w:val="24"/>
        </w:rPr>
      </w:pPr>
    </w:p>
    <w:p w:rsidR="00906E09" w:rsidRPr="00906E09" w:rsidRDefault="00906E09" w:rsidP="00906E09">
      <w:pPr>
        <w:widowControl/>
        <w:spacing w:before="150" w:after="150" w:line="360" w:lineRule="auto"/>
        <w:rPr>
          <w:rFonts w:ascii="宋体" w:eastAsia="宋体" w:hAnsi="宋体" w:cs="宋体" w:hint="eastAsia"/>
          <w:kern w:val="0"/>
          <w:sz w:val="24"/>
          <w:szCs w:val="24"/>
        </w:rPr>
      </w:pPr>
      <w:r w:rsidRPr="00906E09">
        <w:rPr>
          <w:rFonts w:ascii="宋体" w:eastAsia="宋体" w:hAnsi="宋体" w:cs="宋体" w:hint="eastAsia"/>
          <w:kern w:val="0"/>
          <w:sz w:val="18"/>
          <w:szCs w:val="18"/>
        </w:rPr>
        <w:t xml:space="preserve">　　国家自然科学基金委员会-中国石油化工股份有限公司石油化工联合基金（以下简称石油化工联合基金（B类））由国家自然科学基金委员会和中国石油化工股份有限公司共同出资设立，目的是紧密结合我国石油石化领域战略发展面临的若干重大技术难题和关键科学理论问题，开展基础性、前瞻性和创新性研究，促进协同创新，培养石油石化科技人才，进一步提升我国石油石化工业的自主创新能力和核心竞争力。</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石油化工联合基金（B类）作为国家自然科学基金的组成部分，其申请、评审、管理和资金使用按照《国家自然科学基金条例》、《国家自然科学基金联合基金项目管理办法》和《国家自然科学基金资助项目资金管理办法》等有关规定执行。</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面向全国，公平竞争，提倡学科交叉和产学研用结合，择优支持具有良好研究条件和研究实力的高等院校及科研机构，在项目指南公布的研究领域内开展研究。鼓励与中国石油化工股份有限公司所属单位联合申请，对于合作申请的研究项目，应在申请书中明确合作各方的合作内容、主要分工等。</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w:t>
      </w:r>
      <w:r w:rsidRPr="00906E09">
        <w:rPr>
          <w:rFonts w:ascii="宋体" w:eastAsia="宋体" w:hAnsi="宋体" w:cs="宋体" w:hint="eastAsia"/>
          <w:b/>
          <w:bCs/>
          <w:kern w:val="0"/>
          <w:sz w:val="18"/>
          <w:szCs w:val="18"/>
        </w:rPr>
        <w:t>一、2016年度资助计划、资助领域和研究方向</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2016年度</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基金只受理“重点支持项目”的申请，拟资助重点支持项目10项，直接费用的平均资助强度为300万元/项，资助期限为4年，申请书中的研究期限应填写“2017年1月1日-2020年12月31日”。</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（一） 劣质</w:t>
      </w:r>
      <w:proofErr w:type="gramStart"/>
      <w:r w:rsidRPr="00906E09">
        <w:rPr>
          <w:rFonts w:ascii="宋体" w:eastAsia="宋体" w:hAnsi="宋体" w:cs="宋体" w:hint="eastAsia"/>
          <w:kern w:val="0"/>
          <w:sz w:val="18"/>
          <w:szCs w:val="18"/>
        </w:rPr>
        <w:t>油加工</w:t>
      </w:r>
      <w:proofErr w:type="gramEnd"/>
      <w:r w:rsidRPr="00906E09">
        <w:rPr>
          <w:rFonts w:ascii="宋体" w:eastAsia="宋体" w:hAnsi="宋体" w:cs="宋体" w:hint="eastAsia"/>
          <w:kern w:val="0"/>
          <w:sz w:val="18"/>
          <w:szCs w:val="18"/>
        </w:rPr>
        <w:t>基础研究。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面向高硫、高金属、高残炭值等劣质</w:t>
      </w:r>
      <w:proofErr w:type="gramStart"/>
      <w:r w:rsidRPr="00906E09">
        <w:rPr>
          <w:rFonts w:ascii="宋体" w:eastAsia="宋体" w:hAnsi="宋体" w:cs="宋体" w:hint="eastAsia"/>
          <w:kern w:val="0"/>
          <w:sz w:val="18"/>
          <w:szCs w:val="18"/>
        </w:rPr>
        <w:t>油加工</w:t>
      </w:r>
      <w:proofErr w:type="gramEnd"/>
      <w:r w:rsidRPr="00906E09">
        <w:rPr>
          <w:rFonts w:ascii="宋体" w:eastAsia="宋体" w:hAnsi="宋体" w:cs="宋体" w:hint="eastAsia"/>
          <w:kern w:val="0"/>
          <w:sz w:val="18"/>
          <w:szCs w:val="18"/>
        </w:rPr>
        <w:t>中存在的基础性科学问题，开展劣质</w:t>
      </w:r>
      <w:proofErr w:type="gramStart"/>
      <w:r w:rsidRPr="00906E09">
        <w:rPr>
          <w:rFonts w:ascii="宋体" w:eastAsia="宋体" w:hAnsi="宋体" w:cs="宋体" w:hint="eastAsia"/>
          <w:kern w:val="0"/>
          <w:sz w:val="18"/>
          <w:szCs w:val="18"/>
        </w:rPr>
        <w:t>油组成</w:t>
      </w:r>
      <w:proofErr w:type="gramEnd"/>
      <w:r w:rsidRPr="00906E09">
        <w:rPr>
          <w:rFonts w:ascii="宋体" w:eastAsia="宋体" w:hAnsi="宋体" w:cs="宋体" w:hint="eastAsia"/>
          <w:kern w:val="0"/>
          <w:sz w:val="18"/>
          <w:szCs w:val="18"/>
        </w:rPr>
        <w:t>与结构的分子水平表征、高效清洁转化的催化剂与工艺技术研究。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（二） 二氧化碳资源化利用。</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基于碳循环原理，开展石化过程中新型低成本二氧化碳选择性捕集、高效分离基础研究；开展高活性高稳定性二氧化碳加氢等化学转化催化剂和工艺基础研究。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（三） 新型催化材料。</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lastRenderedPageBreak/>
        <w:t xml:space="preserve">　　针对石油化工产业升级，开展纳米层状硫化物、碳基纳米复合材料、晶面可控氧化铝、高分子基载体及催化剂等高性能、新结构催化材料研究。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（四） 高性能合成树脂新材料。</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针对高性能合成树脂，发展制备新方法，探索结构与性能关系，重点解决聚烯烃在线功能化过程、纤维复合材料的高性能环氧树脂新材料、收集空气中水分的新材料及制品或石油化工副产物制备高性能合成树脂等基础和技术问题。</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（五） 高性能碳纤维技术。</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开展高强（5.49Gpa以上）高模（294Gpa以上）高性能碳纤维及其复合材料的技术基础研究，掌握影响产品性能的规律，建立相关表征方法并制定标准。</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（六） 生物基单体及材料。</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针对生物基单体及材料制备、结构与性能的相关科学问题，开展生物基聚酯、生物基（芳香族或脂肪族）聚酰胺、生物基生物相容医用材料、生物基弹性体等研究，开发具有工业化前景的新工艺。</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（七） 制氢技术。</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研究具备放大可行性的制氢新方法与技术，重点开展烃类化学链和太阳能制氢等探索研究。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（八） 柔性有机光电转换材料。</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围绕柔性显示材料的发展需求，针对有机光电高纯度材料的产业化，突破宏量制备关键技术；发展柔性有机光电转换器件；解决以聚酰亚胺为基膜的复合膜制备均匀性问题。</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（九） 燃料电池技术。</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开展固体氧化物燃料电池（SOFC）新材料、新体系和电池集成优化研究，具备放大基础；研究质子交换膜燃料电池（PEMFC）高效催化剂结构及性能关系。</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（十） 石化污染物处理及资源化。</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面向石化行业污染治理的重大需求，开展石化行业污染物的组成与结构表征、迁移机制、催化转化和资源化研究，发展石化行业污染物处理关键技术。</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w:t>
      </w:r>
      <w:r w:rsidRPr="00906E09">
        <w:rPr>
          <w:rFonts w:ascii="宋体" w:eastAsia="宋体" w:hAnsi="宋体" w:cs="宋体" w:hint="eastAsia"/>
          <w:b/>
          <w:bCs/>
          <w:kern w:val="0"/>
          <w:sz w:val="18"/>
          <w:szCs w:val="18"/>
        </w:rPr>
        <w:t>二、申请要求及注意事项</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b/>
          <w:bCs/>
          <w:kern w:val="0"/>
          <w:sz w:val="18"/>
          <w:szCs w:val="18"/>
        </w:rPr>
        <w:lastRenderedPageBreak/>
        <w:t xml:space="preserve">　　</w:t>
      </w:r>
      <w:r w:rsidRPr="00906E09">
        <w:rPr>
          <w:rFonts w:ascii="宋体" w:eastAsia="宋体" w:hAnsi="宋体" w:cs="宋体" w:hint="eastAsia"/>
          <w:kern w:val="0"/>
          <w:sz w:val="18"/>
          <w:szCs w:val="18"/>
        </w:rPr>
        <w:t>（一）申请条件。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基金申请人应当具备以下条件：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1. 具有承担基础研究课题或者其他从事基础研究的经历；</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2. 申请人应当具有高级专业技术职务（职称）。</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在站博士后以及正在攻读研究生学位的科学技术人员不得申请。</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重点支持项目合作研究单位的数量不得超过2个。</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（二）限项规定。</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1. 具有高级专业技术职务（职称）的人员，申请或者参与申请</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906E09">
        <w:rPr>
          <w:rFonts w:ascii="宋体" w:eastAsia="宋体" w:hAnsi="宋体" w:cs="宋体" w:hint="eastAsia"/>
          <w:kern w:val="0"/>
          <w:sz w:val="18"/>
          <w:szCs w:val="18"/>
        </w:rPr>
        <w:t>含承担</w:t>
      </w:r>
      <w:proofErr w:type="gramEnd"/>
      <w:r w:rsidRPr="00906E09">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2. 石油化工联合基金（A类）和石油化工联合基金（B类）为同一名称联合基金项目。申请人（不含参与者）同年只能申请1项石油化工联合基金（B类）或（A类）项目。上一年度获得石油化工联合基金（A类）或（B类）资助的项目负责人，本年度不得作为申请人申请。</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（三）申请注意事项。</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1. </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基金申请书报送日期为2016年9月26日至30日16时。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2. </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基金申请书采用在线方式撰写，对申请人具体要求如下：</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(1) 申请人在填报申请书前，应当认真阅读本项目指南和《2016年度国家自然科学基金项目指南》中申请须知的相关内容，不符合项目指南和相关要求的申请项目不予受理。</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lastRenderedPageBreak/>
        <w:t xml:space="preserve">　　(3) 申请书中的资助类别选择“联合基金项目”，亚类说明选择“重点支持项目”，附注说明选择“石油化工联合基金（B类）”；“申请代码1”选择B06，“申请代码2”根据项目研究领域自主选择相应的申请代码。以上选择不准确或者未选择的项目申请不予受理。</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(4) 申请人应当按照联合基金重点支持项目申请书的撰写提纲撰写申请书。如果申请人已经承担与</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基金相关的国家其他科技计划项目，应当在报告正文的“研究基础与工作条件”部分论述申请项目与其他相关项目的区别与联系。</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(7) 申请人应保证纸质申请书与电子版内容一致。</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(8) </w:t>
      </w:r>
      <w:proofErr w:type="gramStart"/>
      <w:r w:rsidRPr="00906E09">
        <w:rPr>
          <w:rFonts w:ascii="宋体" w:eastAsia="宋体" w:hAnsi="宋体" w:cs="宋体" w:hint="eastAsia"/>
          <w:kern w:val="0"/>
          <w:sz w:val="18"/>
          <w:szCs w:val="18"/>
        </w:rPr>
        <w:t>本联合</w:t>
      </w:r>
      <w:proofErr w:type="gramEnd"/>
      <w:r w:rsidRPr="00906E09">
        <w:rPr>
          <w:rFonts w:ascii="宋体" w:eastAsia="宋体" w:hAnsi="宋体" w:cs="宋体" w:hint="eastAsia"/>
          <w:kern w:val="0"/>
          <w:sz w:val="18"/>
          <w:szCs w:val="18"/>
        </w:rPr>
        <w:t>基金资助项目在执行期间形成的有关论文、专著、研究报告、软件、专利及鉴定、获奖、成果报道等成果，应注明“国家自然科学基金委员会-中国石油化工股份有限公司石油化工联合基金资助项目（项目批准号）”。</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(1) 应在规定的项目申请截止日期（2016年9月30日16时）前提交本单位电子申请书及附件材料，并统一报送经单位签字盖章后的纸质申请书原件（一式一份）及要求报送的纸质附件材料。</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(2) 提交电子申请书时，应通过信息系统逐项确认。</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(3) 报送纸质申请材料时，还应包括本单位公函和申请项目清单，材料不完整不予接收。</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4. 材料接收工作组联系方式。</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lastRenderedPageBreak/>
        <w:t xml:space="preserve">　　通讯地址：北京市海淀区双清路83号国家自然科学基金委员会项目材料接收工作组（行政楼101房间）</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w:t>
      </w:r>
      <w:proofErr w:type="gramStart"/>
      <w:r w:rsidRPr="00906E09">
        <w:rPr>
          <w:rFonts w:ascii="宋体" w:eastAsia="宋体" w:hAnsi="宋体" w:cs="宋体" w:hint="eastAsia"/>
          <w:kern w:val="0"/>
          <w:sz w:val="18"/>
          <w:szCs w:val="18"/>
        </w:rPr>
        <w:t>邮</w:t>
      </w:r>
      <w:proofErr w:type="gramEnd"/>
      <w:r w:rsidRPr="00906E09">
        <w:rPr>
          <w:rFonts w:ascii="宋体" w:eastAsia="宋体" w:hAnsi="宋体" w:cs="宋体" w:hint="eastAsia"/>
          <w:kern w:val="0"/>
          <w:sz w:val="18"/>
          <w:szCs w:val="18"/>
        </w:rPr>
        <w:t xml:space="preserve">　　编：100085</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联系电话：010-62328591</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5. 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96"/>
        <w:gridCol w:w="5094"/>
      </w:tblGrid>
      <w:tr w:rsidR="00906E09" w:rsidRPr="00906E09" w:rsidTr="00906E09">
        <w:trPr>
          <w:tblCellSpacing w:w="0" w:type="dxa"/>
        </w:trPr>
        <w:tc>
          <w:tcPr>
            <w:tcW w:w="2500" w:type="pct"/>
            <w:hideMark/>
          </w:tcPr>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国家自然科学基金委员会化学科学部</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地　址：北京市海淀区双清路83号</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邮　编：100085</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联系人：孙宏伟</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 xml:space="preserve">　　电　话：010-62327168</w:t>
            </w:r>
          </w:p>
          <w:p w:rsidR="00906E09" w:rsidRPr="00906E09" w:rsidRDefault="00906E09" w:rsidP="00906E09">
            <w:pPr>
              <w:widowControl/>
              <w:spacing w:before="150" w:after="150" w:line="360" w:lineRule="auto"/>
              <w:rPr>
                <w:rFonts w:ascii="宋体" w:eastAsia="宋体" w:hAnsi="宋体" w:cs="宋体"/>
                <w:kern w:val="0"/>
                <w:sz w:val="18"/>
                <w:szCs w:val="18"/>
              </w:rPr>
            </w:pPr>
            <w:r w:rsidRPr="00906E09">
              <w:rPr>
                <w:rFonts w:ascii="宋体" w:eastAsia="宋体" w:hAnsi="宋体" w:cs="宋体" w:hint="eastAsia"/>
                <w:kern w:val="0"/>
                <w:sz w:val="18"/>
                <w:szCs w:val="18"/>
              </w:rPr>
              <w:t xml:space="preserve">　　电子邮件：sunhw@nsfc.gov.cn</w:t>
            </w:r>
          </w:p>
        </w:tc>
        <w:tc>
          <w:tcPr>
            <w:tcW w:w="2450" w:type="pct"/>
            <w:hideMark/>
          </w:tcPr>
          <w:p w:rsidR="00906E09" w:rsidRPr="00906E09" w:rsidRDefault="00906E09" w:rsidP="00906E09">
            <w:pPr>
              <w:widowControl/>
              <w:spacing w:before="150" w:after="150" w:line="360" w:lineRule="auto"/>
              <w:rPr>
                <w:rFonts w:ascii="宋体" w:eastAsia="宋体" w:hAnsi="宋体" w:cs="宋体"/>
                <w:kern w:val="0"/>
                <w:sz w:val="18"/>
                <w:szCs w:val="18"/>
              </w:rPr>
            </w:pPr>
            <w:r w:rsidRPr="00906E09">
              <w:rPr>
                <w:rFonts w:ascii="宋体" w:eastAsia="宋体" w:hAnsi="宋体" w:cs="宋体" w:hint="eastAsia"/>
                <w:kern w:val="0"/>
                <w:sz w:val="18"/>
                <w:szCs w:val="18"/>
              </w:rPr>
              <w:t>中国石油化工股份有限公司科技管理部</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地　址：北京朝阳区朝阳门北大街22号</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邮　编：100728</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联系人：林源</w:t>
            </w:r>
          </w:p>
          <w:p w:rsidR="00906E09" w:rsidRPr="00906E09" w:rsidRDefault="00906E09" w:rsidP="00906E09">
            <w:pPr>
              <w:widowControl/>
              <w:spacing w:before="150" w:after="150" w:line="360" w:lineRule="auto"/>
              <w:rPr>
                <w:rFonts w:ascii="宋体" w:eastAsia="宋体" w:hAnsi="宋体" w:cs="宋体" w:hint="eastAsia"/>
                <w:kern w:val="0"/>
                <w:sz w:val="18"/>
                <w:szCs w:val="18"/>
              </w:rPr>
            </w:pPr>
            <w:r w:rsidRPr="00906E09">
              <w:rPr>
                <w:rFonts w:ascii="宋体" w:eastAsia="宋体" w:hAnsi="宋体" w:cs="宋体" w:hint="eastAsia"/>
                <w:kern w:val="0"/>
                <w:sz w:val="18"/>
                <w:szCs w:val="18"/>
              </w:rPr>
              <w:t>电　话：010－59968819</w:t>
            </w:r>
          </w:p>
          <w:p w:rsidR="00906E09" w:rsidRPr="00906E09" w:rsidRDefault="00906E09" w:rsidP="00906E09">
            <w:pPr>
              <w:widowControl/>
              <w:spacing w:before="150" w:after="150" w:line="360" w:lineRule="auto"/>
              <w:rPr>
                <w:rFonts w:ascii="宋体" w:eastAsia="宋体" w:hAnsi="宋体" w:cs="宋体"/>
                <w:kern w:val="0"/>
                <w:sz w:val="18"/>
                <w:szCs w:val="18"/>
              </w:rPr>
            </w:pPr>
            <w:r w:rsidRPr="00906E09">
              <w:rPr>
                <w:rFonts w:ascii="宋体" w:eastAsia="宋体" w:hAnsi="宋体" w:cs="宋体" w:hint="eastAsia"/>
                <w:kern w:val="0"/>
                <w:sz w:val="18"/>
                <w:szCs w:val="18"/>
              </w:rPr>
              <w:t>电子邮件：linyuan@sinopec.com</w:t>
            </w:r>
          </w:p>
        </w:tc>
      </w:tr>
    </w:tbl>
    <w:p w:rsidR="00382947" w:rsidRPr="00906E09" w:rsidRDefault="00382947"/>
    <w:sectPr w:rsidR="00382947" w:rsidRPr="00906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51" w:rsidRDefault="001C4051" w:rsidP="00906E09">
      <w:r>
        <w:separator/>
      </w:r>
    </w:p>
  </w:endnote>
  <w:endnote w:type="continuationSeparator" w:id="0">
    <w:p w:rsidR="001C4051" w:rsidRDefault="001C4051" w:rsidP="0090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51" w:rsidRDefault="001C4051" w:rsidP="00906E09">
      <w:r>
        <w:separator/>
      </w:r>
    </w:p>
  </w:footnote>
  <w:footnote w:type="continuationSeparator" w:id="0">
    <w:p w:rsidR="001C4051" w:rsidRDefault="001C4051" w:rsidP="00906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26"/>
    <w:rsid w:val="001C4051"/>
    <w:rsid w:val="00382947"/>
    <w:rsid w:val="00906E09"/>
    <w:rsid w:val="009C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E09"/>
    <w:rPr>
      <w:sz w:val="18"/>
      <w:szCs w:val="18"/>
    </w:rPr>
  </w:style>
  <w:style w:type="paragraph" w:styleId="a4">
    <w:name w:val="footer"/>
    <w:basedOn w:val="a"/>
    <w:link w:val="Char0"/>
    <w:uiPriority w:val="99"/>
    <w:unhideWhenUsed/>
    <w:rsid w:val="00906E09"/>
    <w:pPr>
      <w:tabs>
        <w:tab w:val="center" w:pos="4153"/>
        <w:tab w:val="right" w:pos="8306"/>
      </w:tabs>
      <w:snapToGrid w:val="0"/>
      <w:jc w:val="left"/>
    </w:pPr>
    <w:rPr>
      <w:sz w:val="18"/>
      <w:szCs w:val="18"/>
    </w:rPr>
  </w:style>
  <w:style w:type="character" w:customStyle="1" w:styleId="Char0">
    <w:name w:val="页脚 Char"/>
    <w:basedOn w:val="a0"/>
    <w:link w:val="a4"/>
    <w:uiPriority w:val="99"/>
    <w:rsid w:val="00906E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E09"/>
    <w:rPr>
      <w:sz w:val="18"/>
      <w:szCs w:val="18"/>
    </w:rPr>
  </w:style>
  <w:style w:type="paragraph" w:styleId="a4">
    <w:name w:val="footer"/>
    <w:basedOn w:val="a"/>
    <w:link w:val="Char0"/>
    <w:uiPriority w:val="99"/>
    <w:unhideWhenUsed/>
    <w:rsid w:val="00906E09"/>
    <w:pPr>
      <w:tabs>
        <w:tab w:val="center" w:pos="4153"/>
        <w:tab w:val="right" w:pos="8306"/>
      </w:tabs>
      <w:snapToGrid w:val="0"/>
      <w:jc w:val="left"/>
    </w:pPr>
    <w:rPr>
      <w:sz w:val="18"/>
      <w:szCs w:val="18"/>
    </w:rPr>
  </w:style>
  <w:style w:type="character" w:customStyle="1" w:styleId="Char0">
    <w:name w:val="页脚 Char"/>
    <w:basedOn w:val="a0"/>
    <w:link w:val="a4"/>
    <w:uiPriority w:val="99"/>
    <w:rsid w:val="00906E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93">
      <w:bodyDiv w:val="1"/>
      <w:marLeft w:val="0"/>
      <w:marRight w:val="0"/>
      <w:marTop w:val="0"/>
      <w:marBottom w:val="0"/>
      <w:divBdr>
        <w:top w:val="none" w:sz="0" w:space="0" w:color="auto"/>
        <w:left w:val="none" w:sz="0" w:space="0" w:color="auto"/>
        <w:bottom w:val="none" w:sz="0" w:space="0" w:color="auto"/>
        <w:right w:val="none" w:sz="0" w:space="0" w:color="auto"/>
      </w:divBdr>
      <w:divsChild>
        <w:div w:id="1426805773">
          <w:marLeft w:val="0"/>
          <w:marRight w:val="0"/>
          <w:marTop w:val="0"/>
          <w:marBottom w:val="0"/>
          <w:divBdr>
            <w:top w:val="none" w:sz="0" w:space="0" w:color="auto"/>
            <w:left w:val="none" w:sz="0" w:space="0" w:color="auto"/>
            <w:bottom w:val="none" w:sz="0" w:space="0" w:color="auto"/>
            <w:right w:val="none" w:sz="0" w:space="0" w:color="auto"/>
          </w:divBdr>
          <w:divsChild>
            <w:div w:id="163471956">
              <w:marLeft w:val="0"/>
              <w:marRight w:val="0"/>
              <w:marTop w:val="75"/>
              <w:marBottom w:val="0"/>
              <w:divBdr>
                <w:top w:val="none" w:sz="0" w:space="0" w:color="auto"/>
                <w:left w:val="none" w:sz="0" w:space="0" w:color="auto"/>
                <w:bottom w:val="none" w:sz="0" w:space="0" w:color="auto"/>
                <w:right w:val="none" w:sz="0" w:space="0" w:color="auto"/>
              </w:divBdr>
              <w:divsChild>
                <w:div w:id="998537772">
                  <w:marLeft w:val="0"/>
                  <w:marRight w:val="0"/>
                  <w:marTop w:val="0"/>
                  <w:marBottom w:val="0"/>
                  <w:divBdr>
                    <w:top w:val="none" w:sz="0" w:space="0" w:color="auto"/>
                    <w:left w:val="none" w:sz="0" w:space="0" w:color="auto"/>
                    <w:bottom w:val="none" w:sz="0" w:space="0" w:color="auto"/>
                    <w:right w:val="none" w:sz="0" w:space="0" w:color="auto"/>
                  </w:divBdr>
                  <w:divsChild>
                    <w:div w:id="1343238326">
                      <w:marLeft w:val="0"/>
                      <w:marRight w:val="0"/>
                      <w:marTop w:val="0"/>
                      <w:marBottom w:val="0"/>
                      <w:divBdr>
                        <w:top w:val="single" w:sz="6" w:space="31" w:color="BBE0ED"/>
                        <w:left w:val="single" w:sz="6" w:space="0" w:color="BBE0ED"/>
                        <w:bottom w:val="single" w:sz="6" w:space="0" w:color="BBE0ED"/>
                        <w:right w:val="single" w:sz="6" w:space="0" w:color="BBE0ED"/>
                      </w:divBdr>
                      <w:divsChild>
                        <w:div w:id="1709841282">
                          <w:marLeft w:val="0"/>
                          <w:marRight w:val="0"/>
                          <w:marTop w:val="0"/>
                          <w:marBottom w:val="0"/>
                          <w:divBdr>
                            <w:top w:val="none" w:sz="0" w:space="0" w:color="auto"/>
                            <w:left w:val="none" w:sz="0" w:space="0" w:color="auto"/>
                            <w:bottom w:val="none" w:sz="0" w:space="0" w:color="auto"/>
                            <w:right w:val="none" w:sz="0" w:space="0" w:color="auto"/>
                          </w:divBdr>
                          <w:divsChild>
                            <w:div w:id="2109766143">
                              <w:marLeft w:val="0"/>
                              <w:marRight w:val="0"/>
                              <w:marTop w:val="0"/>
                              <w:marBottom w:val="0"/>
                              <w:divBdr>
                                <w:top w:val="none" w:sz="0" w:space="0" w:color="auto"/>
                                <w:left w:val="none" w:sz="0" w:space="0" w:color="auto"/>
                                <w:bottom w:val="none" w:sz="0" w:space="0" w:color="auto"/>
                                <w:right w:val="none" w:sz="0" w:space="0" w:color="auto"/>
                              </w:divBdr>
                              <w:divsChild>
                                <w:div w:id="1637563476">
                                  <w:marLeft w:val="0"/>
                                  <w:marRight w:val="0"/>
                                  <w:marTop w:val="0"/>
                                  <w:marBottom w:val="0"/>
                                  <w:divBdr>
                                    <w:top w:val="none" w:sz="0" w:space="0" w:color="auto"/>
                                    <w:left w:val="none" w:sz="0" w:space="0" w:color="auto"/>
                                    <w:bottom w:val="none" w:sz="0" w:space="0" w:color="auto"/>
                                    <w:right w:val="none" w:sz="0" w:space="0" w:color="auto"/>
                                  </w:divBdr>
                                  <w:divsChild>
                                    <w:div w:id="2024279134">
                                      <w:marLeft w:val="0"/>
                                      <w:marRight w:val="0"/>
                                      <w:marTop w:val="0"/>
                                      <w:marBottom w:val="0"/>
                                      <w:divBdr>
                                        <w:top w:val="none" w:sz="0" w:space="0" w:color="auto"/>
                                        <w:left w:val="none" w:sz="0" w:space="0" w:color="auto"/>
                                        <w:bottom w:val="none" w:sz="0" w:space="0" w:color="auto"/>
                                        <w:right w:val="none" w:sz="0" w:space="0" w:color="auto"/>
                                      </w:divBdr>
                                    </w:div>
                                    <w:div w:id="78720458">
                                      <w:marLeft w:val="0"/>
                                      <w:marRight w:val="0"/>
                                      <w:marTop w:val="0"/>
                                      <w:marBottom w:val="0"/>
                                      <w:divBdr>
                                        <w:top w:val="none" w:sz="0" w:space="0" w:color="auto"/>
                                        <w:left w:val="none" w:sz="0" w:space="0" w:color="auto"/>
                                        <w:bottom w:val="none" w:sz="0" w:space="0" w:color="auto"/>
                                        <w:right w:val="none" w:sz="0" w:space="0" w:color="auto"/>
                                      </w:divBdr>
                                    </w:div>
                                    <w:div w:id="19669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2</cp:revision>
  <cp:lastPrinted>2016-08-18T09:40:00Z</cp:lastPrinted>
  <dcterms:created xsi:type="dcterms:W3CDTF">2016-08-18T09:40:00Z</dcterms:created>
  <dcterms:modified xsi:type="dcterms:W3CDTF">2016-08-18T09:43:00Z</dcterms:modified>
</cp:coreProperties>
</file>